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4DF" w:rsidRDefault="009134DF">
      <w:pPr>
        <w:rPr>
          <w:sz w:val="20"/>
          <w:szCs w:val="20"/>
        </w:rPr>
      </w:pPr>
      <w:bookmarkStart w:id="0" w:name="_GoBack"/>
      <w:bookmarkEnd w:id="0"/>
    </w:p>
    <w:p w:rsidR="009134DF" w:rsidRDefault="009134DF">
      <w:pPr>
        <w:rPr>
          <w:sz w:val="20"/>
          <w:szCs w:val="20"/>
        </w:rPr>
      </w:pP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>Tisková zpráva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b/>
        </w:rPr>
      </w:pPr>
      <w:r>
        <w:rPr>
          <w:b/>
        </w:rPr>
        <w:t>Data o exekucích by měla přejít pod resort spravedlnosti, myslí si odborníci. Proti Exekutorské komoře podávají žalobu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Praha, 14. 1. 2020 - Boj o data o exekucích pokračuje. Institut prevence a řešení předlužení (IPŘP) podává proti Exekutorské komoře ČR žalobu. Odborníkům došla s Komorou trpělivost. O aktuálnější data ji žádají dle zákona o svobodném přístupu k informacím </w:t>
      </w:r>
      <w:r>
        <w:rPr>
          <w:b/>
          <w:i/>
          <w:sz w:val="20"/>
          <w:szCs w:val="20"/>
        </w:rPr>
        <w:t>už déle jak rok. Komora navíc nemá kapacity tato data sama zpracovávat, přesto jejich poskytnutí podmiňuje vysokými poplatky nebo nelegitimními podmínkami. Řešením je podle Institutu přesun dat pod ministerstvo spravedlnosti.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>Debata o počtu exekucí v Čes</w:t>
      </w:r>
      <w:r>
        <w:rPr>
          <w:sz w:val="20"/>
          <w:szCs w:val="20"/>
        </w:rPr>
        <w:t>ku nabírá nových rozměrů. Institut prevence a řešení předlužení, který nyní spoluzodpovídá za aktualizaci Mapy exekucí, podává proti Exekutorské komoře ČR žalobu. Komora, která podle zákona spravuje Centrální evidenci exekucí, ovšem dlouhodobě odmítá zdroj</w:t>
      </w:r>
      <w:r>
        <w:rPr>
          <w:sz w:val="20"/>
          <w:szCs w:val="20"/>
        </w:rPr>
        <w:t>ová data poskytovat dalším subjektům k jejich dalšímu zpracování, případně je podmiňuje vysokými poplatky. Sama přitom zveřejňuje na svém webu jen základní statistiky bez jakékoli aktualizace.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i/>
          <w:sz w:val="20"/>
          <w:szCs w:val="20"/>
        </w:rPr>
      </w:pPr>
      <w:r>
        <w:rPr>
          <w:sz w:val="20"/>
          <w:szCs w:val="20"/>
        </w:rPr>
        <w:t>“</w:t>
      </w:r>
      <w:r>
        <w:rPr>
          <w:i/>
          <w:sz w:val="20"/>
          <w:szCs w:val="20"/>
        </w:rPr>
        <w:t>Komora bezdůvodně ztěžuje přístup k podrobným statistickým d</w:t>
      </w:r>
      <w:r>
        <w:rPr>
          <w:i/>
          <w:sz w:val="20"/>
          <w:szCs w:val="20"/>
        </w:rPr>
        <w:t>atům o nově zahájených i starších exekucích. K datům navíc nemá řádný přístup ani resort spravedlnosti, což je podle nás nepřijatelné,</w:t>
      </w:r>
      <w:r>
        <w:rPr>
          <w:sz w:val="20"/>
          <w:szCs w:val="20"/>
        </w:rPr>
        <w:t xml:space="preserve">” uvádí Radek Hábl, ředitel IPŘP a autor Mapy exekucí. Podle něj s uvedenými daty pracuje celá řada subjektů, zejména pak </w:t>
      </w:r>
      <w:r>
        <w:rPr>
          <w:sz w:val="20"/>
          <w:szCs w:val="20"/>
        </w:rPr>
        <w:t xml:space="preserve">místní samosprávy a vyšší územně správní celky, které na základě nich připravují </w:t>
      </w:r>
      <w:proofErr w:type="spellStart"/>
      <w:r>
        <w:rPr>
          <w:sz w:val="20"/>
          <w:szCs w:val="20"/>
        </w:rPr>
        <w:t>protidluhová</w:t>
      </w:r>
      <w:proofErr w:type="spellEnd"/>
      <w:r>
        <w:rPr>
          <w:sz w:val="20"/>
          <w:szCs w:val="20"/>
        </w:rPr>
        <w:t xml:space="preserve"> opatření. S daty pracují také univerzity a výzkumníci. “</w:t>
      </w:r>
      <w:r>
        <w:rPr>
          <w:i/>
          <w:sz w:val="20"/>
          <w:szCs w:val="20"/>
        </w:rPr>
        <w:t>Ti všichni mají už více než rok smůlu,</w:t>
      </w:r>
      <w:r>
        <w:rPr>
          <w:sz w:val="20"/>
          <w:szCs w:val="20"/>
        </w:rPr>
        <w:t>” říká Hábl.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Poslední data na úrovni obcí byla Komorou poskytnuta </w:t>
      </w:r>
      <w:r>
        <w:rPr>
          <w:sz w:val="20"/>
          <w:szCs w:val="20"/>
        </w:rPr>
        <w:t xml:space="preserve">za rok 2017. Značná prodleva v poskytnutí aktuálnějších informací znemožňuje podle Institutu mj. vyhodnocování účinnosti místně přijímaných </w:t>
      </w:r>
      <w:proofErr w:type="spellStart"/>
      <w:r>
        <w:rPr>
          <w:sz w:val="20"/>
          <w:szCs w:val="20"/>
        </w:rPr>
        <w:t>protidluhových</w:t>
      </w:r>
      <w:proofErr w:type="spellEnd"/>
      <w:r>
        <w:rPr>
          <w:sz w:val="20"/>
          <w:szCs w:val="20"/>
        </w:rPr>
        <w:t xml:space="preserve"> opatření, ale i nové legislativy. </w:t>
      </w:r>
      <w:r>
        <w:rPr>
          <w:i/>
          <w:sz w:val="20"/>
          <w:szCs w:val="20"/>
        </w:rPr>
        <w:t>”Může to mít celospolečenské ekonomické dopady. Vedle toho nám to n</w:t>
      </w:r>
      <w:r>
        <w:rPr>
          <w:i/>
          <w:sz w:val="20"/>
          <w:szCs w:val="20"/>
        </w:rPr>
        <w:t>edovoluje detailně zkoumat tento zásadní jev v delším časovém úseku, a problém tak efektivně řešit,</w:t>
      </w:r>
      <w:r>
        <w:rPr>
          <w:sz w:val="20"/>
          <w:szCs w:val="20"/>
        </w:rPr>
        <w:t>” vysvětluje Hábl s tím, že jsou s centrální evidencí exekucí problémy už od jejího vzniku, kdy její samotné spuštění trvalo celých osm let.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>Exekutorská ko</w:t>
      </w:r>
      <w:r>
        <w:rPr>
          <w:sz w:val="20"/>
          <w:szCs w:val="20"/>
        </w:rPr>
        <w:t>mora odmítá zveřejnit i své příjmy a náklady spojené se správou centrální evidence exekucí, a to navzdory rozhodnutí Městského soudu v Praze z roku 2017. Komora po Institutu od začátku požaduje za poskytnutí dat k analýze 60 tisíc korun, na které přitom dl</w:t>
      </w:r>
      <w:r>
        <w:rPr>
          <w:sz w:val="20"/>
          <w:szCs w:val="20"/>
        </w:rPr>
        <w:t>e odborníků i známé judikatury Městského soudu v Praze nemá nárok. Poskytnutí dat by mělo stát nejvýše 14,5 tisíce korun, které by byl Institut ochotný uhradit. “</w:t>
      </w:r>
      <w:r>
        <w:rPr>
          <w:i/>
          <w:sz w:val="20"/>
          <w:szCs w:val="20"/>
        </w:rPr>
        <w:t>Bylo by vhodné zvážit převod správy Centrální evidence exekucí pod stát, konkrétně ministerstv</w:t>
      </w:r>
      <w:r>
        <w:rPr>
          <w:i/>
          <w:sz w:val="20"/>
          <w:szCs w:val="20"/>
        </w:rPr>
        <w:t>o spravedlnosti, které již vede velmi úspěšně insolvenční rejstřík,</w:t>
      </w:r>
      <w:r>
        <w:rPr>
          <w:sz w:val="20"/>
          <w:szCs w:val="20"/>
        </w:rPr>
        <w:t>” uzavírá Hábl.</w:t>
      </w:r>
    </w:p>
    <w:p w:rsidR="009134DF" w:rsidRDefault="009134DF">
      <w:pPr>
        <w:rPr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9134DF">
      <w:pPr>
        <w:spacing w:after="120" w:line="273" w:lineRule="auto"/>
        <w:rPr>
          <w:b/>
          <w:sz w:val="20"/>
          <w:szCs w:val="20"/>
        </w:rPr>
      </w:pPr>
    </w:p>
    <w:p w:rsidR="009134DF" w:rsidRDefault="00EC6D9C">
      <w:pPr>
        <w:spacing w:after="120" w:line="273" w:lineRule="auto"/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lastRenderedPageBreak/>
        <w:t>﹡﹡﹡</w:t>
      </w:r>
    </w:p>
    <w:p w:rsidR="009134DF" w:rsidRDefault="00EC6D9C">
      <w:pPr>
        <w:spacing w:after="120" w:line="273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Institut prevence a řešení předlužení</w:t>
      </w:r>
      <w:r>
        <w:rPr>
          <w:sz w:val="20"/>
          <w:szCs w:val="20"/>
        </w:rPr>
        <w:t xml:space="preserve"> je nezávislý </w:t>
      </w:r>
      <w:proofErr w:type="spellStart"/>
      <w:r>
        <w:rPr>
          <w:sz w:val="20"/>
          <w:szCs w:val="20"/>
        </w:rPr>
        <w:t>think</w:t>
      </w:r>
      <w:proofErr w:type="spellEnd"/>
      <w:r>
        <w:rPr>
          <w:sz w:val="20"/>
          <w:szCs w:val="20"/>
        </w:rPr>
        <w:t xml:space="preserve">-tank, který se zaměřuje na problematiku zadluženosti domácností, exekucí a osobních bankrotů. Jeho cílem </w:t>
      </w:r>
      <w:r>
        <w:rPr>
          <w:sz w:val="20"/>
          <w:szCs w:val="20"/>
        </w:rPr>
        <w:t>je kultivace českého systému vymáhání pohledávek a nastavení takových podmínek, které by zamezily nemravnému obchodu s dluhy. Poukazuje na problematické oblasti i problematické subjekty. Přináší podrobná data, výzkumy a analýzy. Spolupracuje se zaměstnavat</w:t>
      </w:r>
      <w:r>
        <w:rPr>
          <w:sz w:val="20"/>
          <w:szCs w:val="20"/>
        </w:rPr>
        <w:t>eli i dalšími organizacemi, které se této problematice dlouhodobě věnují. Institut byl založen v roce 2019.</w:t>
      </w:r>
      <w:hyperlink r:id="rId6">
        <w:r>
          <w:rPr>
            <w:sz w:val="20"/>
            <w:szCs w:val="20"/>
          </w:rPr>
          <w:t xml:space="preserve"> Více na </w:t>
        </w:r>
      </w:hyperlink>
      <w:r>
        <w:fldChar w:fldCharType="begin"/>
      </w:r>
      <w:r>
        <w:instrText xml:space="preserve"> HYPERLINK "http://www.institut-predluzeni.cz" </w:instrText>
      </w:r>
      <w:r>
        <w:fldChar w:fldCharType="separate"/>
      </w:r>
      <w:r>
        <w:rPr>
          <w:sz w:val="20"/>
          <w:szCs w:val="20"/>
          <w:u w:val="single"/>
        </w:rPr>
        <w:t>www.institut-predluzeni.cz.</w:t>
      </w:r>
    </w:p>
    <w:p w:rsidR="009134DF" w:rsidRDefault="00EC6D9C">
      <w:pPr>
        <w:rPr>
          <w:sz w:val="20"/>
          <w:szCs w:val="20"/>
        </w:rPr>
      </w:pPr>
      <w:r>
        <w:fldChar w:fldCharType="end"/>
      </w:r>
    </w:p>
    <w:p w:rsidR="009134DF" w:rsidRDefault="00EC6D9C">
      <w:pPr>
        <w:spacing w:after="120" w:line="273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﹡﹡﹡</w:t>
      </w:r>
    </w:p>
    <w:p w:rsidR="009134DF" w:rsidRDefault="00EC6D9C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</w:t>
      </w:r>
      <w:r>
        <w:rPr>
          <w:b/>
          <w:sz w:val="20"/>
          <w:szCs w:val="20"/>
        </w:rPr>
        <w:t>akt pro média:</w:t>
      </w:r>
    </w:p>
    <w:p w:rsidR="009134DF" w:rsidRDefault="00EC6D9C">
      <w:pPr>
        <w:rPr>
          <w:sz w:val="20"/>
          <w:szCs w:val="20"/>
        </w:rPr>
      </w:pPr>
      <w:r>
        <w:rPr>
          <w:sz w:val="20"/>
          <w:szCs w:val="20"/>
        </w:rPr>
        <w:t xml:space="preserve">Radek </w:t>
      </w:r>
      <w:proofErr w:type="gramStart"/>
      <w:r>
        <w:rPr>
          <w:sz w:val="20"/>
          <w:szCs w:val="20"/>
        </w:rPr>
        <w:t>Hábl - zakladatel</w:t>
      </w:r>
      <w:proofErr w:type="gramEnd"/>
    </w:p>
    <w:p w:rsidR="009134DF" w:rsidRDefault="00EC6D9C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e: radek@institut-predluzeni.cz</w:t>
      </w:r>
    </w:p>
    <w:p w:rsidR="009134DF" w:rsidRDefault="00EC6D9C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m: 608 967 691</w:t>
      </w:r>
    </w:p>
    <w:p w:rsidR="009134DF" w:rsidRDefault="00EC6D9C">
      <w:pPr>
        <w:spacing w:after="120" w:line="273" w:lineRule="auto"/>
        <w:rPr>
          <w:sz w:val="20"/>
          <w:szCs w:val="20"/>
        </w:rPr>
      </w:pPr>
      <w:hyperlink r:id="rId7">
        <w:r>
          <w:rPr>
            <w:color w:val="1155CC"/>
            <w:sz w:val="20"/>
            <w:szCs w:val="20"/>
            <w:u w:val="single"/>
          </w:rPr>
          <w:t>www.institut-predluzeni.cz</w:t>
        </w:r>
      </w:hyperlink>
    </w:p>
    <w:p w:rsidR="009134DF" w:rsidRDefault="00EC6D9C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 xml:space="preserve">Lucie </w:t>
      </w:r>
      <w:proofErr w:type="gramStart"/>
      <w:r>
        <w:rPr>
          <w:sz w:val="20"/>
          <w:szCs w:val="20"/>
        </w:rPr>
        <w:t>Nemešová - PR</w:t>
      </w:r>
      <w:proofErr w:type="gramEnd"/>
    </w:p>
    <w:p w:rsidR="009134DF" w:rsidRDefault="00EC6D9C">
      <w:pPr>
        <w:spacing w:line="273" w:lineRule="auto"/>
        <w:rPr>
          <w:sz w:val="20"/>
          <w:szCs w:val="20"/>
        </w:rPr>
      </w:pPr>
      <w:r>
        <w:rPr>
          <w:sz w:val="20"/>
          <w:szCs w:val="20"/>
        </w:rPr>
        <w:t>e: lucie.nemesova@gmail.com</w:t>
      </w:r>
    </w:p>
    <w:p w:rsidR="009134DF" w:rsidRDefault="00EC6D9C">
      <w:pPr>
        <w:spacing w:after="120" w:line="273" w:lineRule="auto"/>
        <w:rPr>
          <w:sz w:val="20"/>
          <w:szCs w:val="20"/>
        </w:rPr>
      </w:pPr>
      <w:r>
        <w:rPr>
          <w:sz w:val="20"/>
          <w:szCs w:val="20"/>
        </w:rPr>
        <w:t>m: 602 325 029</w:t>
      </w:r>
    </w:p>
    <w:p w:rsidR="009134DF" w:rsidRDefault="009134DF">
      <w:pPr>
        <w:rPr>
          <w:b/>
          <w:sz w:val="20"/>
          <w:szCs w:val="20"/>
        </w:rPr>
      </w:pPr>
    </w:p>
    <w:sectPr w:rsidR="009134DF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9C" w:rsidRDefault="00EC6D9C">
      <w:pPr>
        <w:spacing w:line="240" w:lineRule="auto"/>
      </w:pPr>
      <w:r>
        <w:separator/>
      </w:r>
    </w:p>
  </w:endnote>
  <w:endnote w:type="continuationSeparator" w:id="0">
    <w:p w:rsidR="00EC6D9C" w:rsidRDefault="00EC6D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DF" w:rsidRDefault="00EC6D9C">
    <w:pPr>
      <w:rPr>
        <w:sz w:val="20"/>
        <w:szCs w:val="20"/>
      </w:rPr>
    </w:pPr>
    <w:r>
      <w:rPr>
        <w:sz w:val="20"/>
        <w:szCs w:val="20"/>
      </w:rPr>
      <w:t xml:space="preserve">Institut prevence a řešení předlužení, </w:t>
    </w:r>
    <w:proofErr w:type="spellStart"/>
    <w:r>
      <w:rPr>
        <w:sz w:val="20"/>
        <w:szCs w:val="20"/>
      </w:rPr>
      <w:t>z.ú</w:t>
    </w:r>
    <w:proofErr w:type="spellEnd"/>
    <w:r>
      <w:rPr>
        <w:sz w:val="20"/>
        <w:szCs w:val="20"/>
      </w:rPr>
      <w:t>.</w:t>
    </w:r>
  </w:p>
  <w:p w:rsidR="009134DF" w:rsidRDefault="00EC6D9C">
    <w:pPr>
      <w:rPr>
        <w:color w:val="303030"/>
        <w:sz w:val="20"/>
        <w:szCs w:val="20"/>
        <w:highlight w:val="white"/>
      </w:rPr>
    </w:pPr>
    <w:r>
      <w:rPr>
        <w:color w:val="303030"/>
        <w:sz w:val="20"/>
        <w:szCs w:val="20"/>
        <w:highlight w:val="white"/>
      </w:rPr>
      <w:t>Jičínská 226, 130 00 Praha 3</w:t>
    </w:r>
  </w:p>
  <w:p w:rsidR="009134DF" w:rsidRDefault="00EC6D9C">
    <w:pPr>
      <w:rPr>
        <w:color w:val="303030"/>
        <w:sz w:val="20"/>
        <w:szCs w:val="20"/>
        <w:highlight w:val="white"/>
      </w:rPr>
    </w:pPr>
    <w:r>
      <w:rPr>
        <w:color w:val="303030"/>
        <w:sz w:val="20"/>
        <w:szCs w:val="20"/>
        <w:highlight w:val="white"/>
      </w:rPr>
      <w:t>IČ: 07753268, DIČ: CZ07753268</w:t>
    </w:r>
  </w:p>
  <w:p w:rsidR="009134DF" w:rsidRDefault="00EC6D9C">
    <w:r>
      <w:rPr>
        <w:color w:val="303030"/>
        <w:sz w:val="20"/>
        <w:szCs w:val="20"/>
        <w:highlight w:val="white"/>
      </w:rPr>
      <w:t>www.institut-predluzeni.cz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9C" w:rsidRDefault="00EC6D9C">
      <w:pPr>
        <w:spacing w:line="240" w:lineRule="auto"/>
      </w:pPr>
      <w:r>
        <w:separator/>
      </w:r>
    </w:p>
  </w:footnote>
  <w:footnote w:type="continuationSeparator" w:id="0">
    <w:p w:rsidR="00EC6D9C" w:rsidRDefault="00EC6D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4DF" w:rsidRDefault="00EC6D9C">
    <w:pPr>
      <w:spacing w:line="273" w:lineRule="auto"/>
    </w:pPr>
    <w:r>
      <w:rPr>
        <w:noProof/>
        <w:color w:val="FF2600"/>
      </w:rPr>
      <w:drawing>
        <wp:inline distT="114300" distB="114300" distL="114300" distR="114300">
          <wp:extent cx="1808238" cy="547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8238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4DF"/>
    <w:rsid w:val="009134DF"/>
    <w:rsid w:val="00D83E0F"/>
    <w:rsid w:val="00E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0B9D1-6BC7-4169-AA28-40179864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stitut-predluz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itut-predluzeni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2020-01-14T11:51:00Z</dcterms:created>
  <dcterms:modified xsi:type="dcterms:W3CDTF">2020-01-14T11:51:00Z</dcterms:modified>
</cp:coreProperties>
</file>