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Nevládní organizace zásadně nesouhlasí s návrhem exekutorů na zavedení  tzv. fixní srážky v exekuci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Praha, 9. 1. 2024 - </w:t>
      </w:r>
      <w:r w:rsidDel="00000000" w:rsidR="00000000" w:rsidRPr="00000000">
        <w:rPr>
          <w:b w:val="1"/>
          <w:i w:val="1"/>
          <w:rtl w:val="0"/>
        </w:rPr>
        <w:t xml:space="preserve">Vládní koalice jedná o návrhu exekutorů na rozšíření stávajícího systému srážek z příjmu navíc o institut tzv. fixní srážky. Jeho smyslem je umožnit exekutorům provádění srážek i nízkopříjmovým dlužníkům, a tím prolomit zákonnou nezabavitelnou částku. Fixní srážka by postihla p</w:t>
      </w:r>
      <w:r w:rsidDel="00000000" w:rsidR="00000000" w:rsidRPr="00000000">
        <w:rPr>
          <w:b w:val="1"/>
          <w:i w:val="1"/>
          <w:rtl w:val="0"/>
        </w:rPr>
        <w:t xml:space="preserve">ouze dlužníky s legálními příjmy</w:t>
      </w:r>
      <w:r w:rsidDel="00000000" w:rsidR="00000000" w:rsidRPr="00000000">
        <w:rPr>
          <w:b w:val="1"/>
          <w:i w:val="1"/>
          <w:rtl w:val="0"/>
        </w:rPr>
        <w:t xml:space="preserve">, a to bez ohledu na jejich výši, a zahrnovala by i invalidní a starobní důchodce (v základní variantě má činit 1.890 Kč).</w:t>
      </w:r>
    </w:p>
    <w:p w:rsidR="00000000" w:rsidDel="00000000" w:rsidP="00000000" w:rsidRDefault="00000000" w:rsidRPr="00000000" w14:paraId="00000005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ávrh z dílny exekutorů by vedl zejména k: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12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penalizaci legálně pracujících dlužníků</w:t>
      </w:r>
      <w:r w:rsidDel="00000000" w:rsidR="00000000" w:rsidRPr="00000000">
        <w:rPr>
          <w:rtl w:val="0"/>
        </w:rPr>
        <w:t xml:space="preserve">, neboť návrh nepostihuje ty, kteří pracují mimo legální ekonomiku,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dalšímu </w:t>
      </w:r>
      <w:r w:rsidDel="00000000" w:rsidR="00000000" w:rsidRPr="00000000">
        <w:rPr>
          <w:b w:val="1"/>
          <w:rtl w:val="0"/>
        </w:rPr>
        <w:t xml:space="preserve">vytlačování zadlužených lidí do šedé ekonomiky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riziku extrémní chudoby zejména důchodců či samoživitelů</w:t>
      </w:r>
      <w:r w:rsidDel="00000000" w:rsidR="00000000" w:rsidRPr="00000000">
        <w:rPr>
          <w:rtl w:val="0"/>
        </w:rPr>
        <w:t xml:space="preserve"> včetně jejich dětí,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zanedbatelnému zvýšení splátek věřitelům</w:t>
      </w:r>
      <w:r w:rsidDel="00000000" w:rsidR="00000000" w:rsidRPr="00000000">
        <w:rPr>
          <w:rtl w:val="0"/>
        </w:rPr>
        <w:t xml:space="preserve"> v porovnání s celospolečenskými náklady na řešení problémů ztráty bydlení a nedostatku financí na základní životní potřeby.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Nezabavitelná částka na nezbytné životní náklady v posledních dvou letech rostla v důsledku razantního zdražování energií, které nás postihlo prakticky všechny. Ostatně i Exekutorská komora požadovala 100% navýšení minimálních plateb exekutorům právě kvůli zdražování. Už na konci roku 2022 byl při</w:t>
      </w:r>
      <w:r w:rsidDel="00000000" w:rsidR="00000000" w:rsidRPr="00000000">
        <w:rPr>
          <w:rtl w:val="0"/>
        </w:rPr>
        <w:t xml:space="preserve">tom změněn výpočet nezabavitelné částky tak, aby rostla méně, než určovala tehdejší pravidla.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Zvýší vůbec návrh vymahatelnost dluhů? Výsledek může být kvůli demotivaci legálně pracovat dokonce opačný. Na hazard exekutorů tak můžeme </w:t>
      </w:r>
      <w:r w:rsidDel="00000000" w:rsidR="00000000" w:rsidRPr="00000000">
        <w:rPr>
          <w:rtl w:val="0"/>
        </w:rPr>
        <w:t xml:space="preserve">doplatit</w:t>
      </w:r>
      <w:r w:rsidDel="00000000" w:rsidR="00000000" w:rsidRPr="00000000">
        <w:rPr>
          <w:rtl w:val="0"/>
        </w:rPr>
        <w:t xml:space="preserve"> všichni. I za bezdětného člověka pracujícího legálně za minimální mzdu totiž získá stát každý měsíc téměř 9 tisíc </w:t>
      </w:r>
      <w:r w:rsidDel="00000000" w:rsidR="00000000" w:rsidRPr="00000000">
        <w:rPr>
          <w:rtl w:val="0"/>
        </w:rPr>
        <w:t xml:space="preserve">korun.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Další nevýhodou předloženého návrhu je, že výživné by při rozdělování výtěžku z minimální srážky nemělo přednost před běžnými pohledávkami, například z nebankovních úvěrů.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“Jde o nejasociálnější změnu za téměř dvacet let. Pokud exekutorský návrh vláda schválí, zařadí se po bok Pavla Němce, kvůli kterému v Česku eskaloval problém s exekucemi,” říká Daniel Hůle z Člověka v tísni. “Nedovolme, abychom primárně kvůli ekonomickým zájmům exekutorů připravili daňové poplatníky o peníze z legální práce dlužníků,” dodává Pavla Aschermannová z Rubikon centra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Od 1. ledna navíc došlo k výraznému snížení nezabavitelné částky pro dlužníka o více než 900 Kč. Koalice se také již dohodla, že zruší započítávání manželů do nezabavitelné částky, což ji dále sníží až o 3.176 Kč. Navíc se s růstem minimální mzdy zvýší srážky v exekuci a rozšíří počet dlužníků, kterým se bude nově srážet.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Efektivnější cestou k vyšší vymahatelnosti dluhů by bylo výraznější zvýšení minimální mzdy a lepší postihování práce načerno.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***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Kontakt: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Pavla Aschermannová,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aschermannova@rubikoncentrum.cz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Daniel Hůle,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daniel.hule@clovekvtisni.cz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Radek Hábl,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radek@institut-predluzeni.cz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Připojené organizace: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Člověk v tísni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Charita ČR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Institut prevence a řešení předlužení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Rada seniorů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Rubikon centrum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ind w:left="-141.73228346456688" w:firstLine="0"/>
      <w:jc w:val="center"/>
      <w:rPr/>
    </w:pPr>
    <w:r w:rsidDel="00000000" w:rsidR="00000000" w:rsidRPr="00000000">
      <w:rPr>
        <w:rFonts w:ascii="Calibri" w:cs="Calibri" w:eastAsia="Calibri" w:hAnsi="Calibri"/>
        <w:color w:val="14418b"/>
        <w:sz w:val="16"/>
        <w:szCs w:val="16"/>
      </w:rPr>
      <w:drawing>
        <wp:inline distB="114300" distT="114300" distL="114300" distR="114300">
          <wp:extent cx="931308" cy="350308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308" cy="3503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14418b"/>
        <w:sz w:val="16"/>
        <w:szCs w:val="16"/>
        <w:rtl w:val="0"/>
      </w:rPr>
      <w:t xml:space="preserve">      </w:t>
    </w:r>
    <w:r w:rsidDel="00000000" w:rsidR="00000000" w:rsidRPr="00000000">
      <w:rPr>
        <w:rFonts w:ascii="Calibri" w:cs="Calibri" w:eastAsia="Calibri" w:hAnsi="Calibri"/>
        <w:color w:val="14418b"/>
        <w:sz w:val="16"/>
        <w:szCs w:val="16"/>
      </w:rPr>
      <w:drawing>
        <wp:inline distB="114300" distT="114300" distL="114300" distR="114300">
          <wp:extent cx="704373" cy="394758"/>
          <wp:effectExtent b="0" l="0" r="0" t="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373" cy="394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14418b"/>
        <w:sz w:val="16"/>
        <w:szCs w:val="16"/>
        <w:rtl w:val="0"/>
      </w:rPr>
      <w:t xml:space="preserve">      </w:t>
    </w:r>
    <w:r w:rsidDel="00000000" w:rsidR="00000000" w:rsidRPr="00000000">
      <w:rPr>
        <w:rFonts w:ascii="Calibri" w:cs="Calibri" w:eastAsia="Calibri" w:hAnsi="Calibri"/>
        <w:color w:val="14418b"/>
        <w:sz w:val="16"/>
        <w:szCs w:val="16"/>
      </w:rPr>
      <w:drawing>
        <wp:inline distB="114300" distT="114300" distL="114300" distR="114300">
          <wp:extent cx="1248678" cy="382058"/>
          <wp:effectExtent b="0" l="0" r="0" t="0"/>
          <wp:docPr id="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8678" cy="3820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14418b"/>
        <w:sz w:val="16"/>
        <w:szCs w:val="16"/>
        <w:rtl w:val="0"/>
      </w:rPr>
      <w:t xml:space="preserve">      </w:t>
    </w:r>
    <w:r w:rsidDel="00000000" w:rsidR="00000000" w:rsidRPr="00000000">
      <w:rPr>
        <w:rFonts w:ascii="Calibri" w:cs="Calibri" w:eastAsia="Calibri" w:hAnsi="Calibri"/>
        <w:color w:val="14418b"/>
        <w:sz w:val="16"/>
        <w:szCs w:val="16"/>
      </w:rPr>
      <w:drawing>
        <wp:inline distB="114300" distT="114300" distL="114300" distR="114300">
          <wp:extent cx="916046" cy="402167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6046" cy="4021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14418b"/>
        <w:sz w:val="16"/>
        <w:szCs w:val="16"/>
        <w:rtl w:val="0"/>
      </w:rPr>
      <w:t xml:space="preserve">         </w:t>
    </w:r>
    <w:r w:rsidDel="00000000" w:rsidR="00000000" w:rsidRPr="00000000">
      <w:rPr>
        <w:rFonts w:ascii="Calibri" w:cs="Calibri" w:eastAsia="Calibri" w:hAnsi="Calibri"/>
        <w:color w:val="14418b"/>
        <w:sz w:val="16"/>
        <w:szCs w:val="16"/>
      </w:rPr>
      <w:drawing>
        <wp:inline distB="114300" distT="114300" distL="114300" distR="114300">
          <wp:extent cx="463806" cy="391659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3806" cy="3916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aschermannova@rubikoncentrum.cz" TargetMode="External"/><Relationship Id="rId7" Type="http://schemas.openxmlformats.org/officeDocument/2006/relationships/hyperlink" Target="mailto:daniel.hule@clovekvtisni.cz" TargetMode="External"/><Relationship Id="rId8" Type="http://schemas.openxmlformats.org/officeDocument/2006/relationships/hyperlink" Target="mailto:radek@institut-predluzeni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1.jp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